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57051" w14:textId="3EDB4F80"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9357C3">
        <w:rPr>
          <w:rFonts w:asciiTheme="minorHAnsi" w:eastAsia="Calibri" w:hAnsiTheme="minorHAnsi" w:cs="Arial"/>
          <w:b/>
          <w:sz w:val="28"/>
          <w:szCs w:val="28"/>
          <w:lang w:eastAsia="en-US"/>
        </w:rPr>
        <w:t>2</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 podmínky</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69F83B3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9357C3">
        <w:rPr>
          <w:rFonts w:asciiTheme="minorHAnsi" w:hAnsiTheme="minorHAnsi"/>
          <w:b/>
          <w:sz w:val="28"/>
          <w:szCs w:val="28"/>
        </w:rPr>
        <w:t>2</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475D03">
      <w:pPr>
        <w:shd w:val="clear" w:color="auto" w:fill="FFE599" w:themeFill="accent4" w:themeFillTint="66"/>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5731C3F5" w14:textId="1D21FD52" w:rsidR="002D6F30" w:rsidRDefault="008B2D5E" w:rsidP="00475D03">
      <w:pPr>
        <w:shd w:val="clear" w:color="auto" w:fill="FFE599" w:themeFill="accent4" w:themeFillTint="66"/>
        <w:autoSpaceDE w:val="0"/>
        <w:autoSpaceDN w:val="0"/>
        <w:adjustRightInd w:val="0"/>
        <w:spacing w:line="276" w:lineRule="auto"/>
        <w:rPr>
          <w:rFonts w:asciiTheme="minorHAnsi" w:hAnsiTheme="minorHAnsi" w:cs="Arial"/>
          <w:b/>
          <w:sz w:val="28"/>
          <w:szCs w:val="28"/>
        </w:rPr>
      </w:pPr>
      <w:r>
        <w:rPr>
          <w:rFonts w:asciiTheme="minorHAnsi" w:hAnsiTheme="minorHAnsi" w:cs="Arial"/>
          <w:b/>
          <w:sz w:val="28"/>
          <w:szCs w:val="28"/>
        </w:rPr>
        <w:t xml:space="preserve">Dodávka </w:t>
      </w:r>
      <w:r w:rsidR="001E2B25">
        <w:rPr>
          <w:rFonts w:asciiTheme="minorHAnsi" w:hAnsiTheme="minorHAnsi" w:cs="Arial"/>
          <w:b/>
          <w:sz w:val="28"/>
          <w:szCs w:val="28"/>
        </w:rPr>
        <w:t>nebulizátorů</w:t>
      </w:r>
    </w:p>
    <w:p w14:paraId="08C28DB2" w14:textId="17FFFF96"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2AC29219"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3048D332" w14:textId="66050DAC" w:rsidR="00F05922" w:rsidRDefault="00DD6BEA" w:rsidP="00F05922">
      <w:pPr>
        <w:suppressAutoHyphens/>
        <w:spacing w:after="160" w:line="276" w:lineRule="auto"/>
        <w:contextualSpacing/>
        <w:jc w:val="both"/>
        <w:rPr>
          <w:rFonts w:ascii="Calibri" w:hAnsi="Calibri" w:cs="Arial"/>
          <w:sz w:val="22"/>
          <w:szCs w:val="22"/>
        </w:rPr>
      </w:pPr>
      <w:r w:rsidRPr="00DD6BE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AEA6F46" w14:textId="77777777" w:rsidR="00DD6BEA" w:rsidRDefault="00DD6BEA" w:rsidP="00F05922">
      <w:pPr>
        <w:suppressAutoHyphens/>
        <w:spacing w:after="160" w:line="276" w:lineRule="auto"/>
        <w:contextualSpacing/>
        <w:jc w:val="both"/>
        <w:rPr>
          <w:rFonts w:ascii="Calibri" w:hAnsi="Calibri" w:cs="Arial"/>
          <w:sz w:val="22"/>
          <w:szCs w:val="22"/>
        </w:rPr>
      </w:pPr>
    </w:p>
    <w:p w14:paraId="33928CE2" w14:textId="4EAE695D"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1E2B25" w:rsidRPr="00654188" w14:paraId="7B7F3D52" w14:textId="77777777" w:rsidTr="00F50BB4">
        <w:trPr>
          <w:trHeight w:val="387"/>
        </w:trPr>
        <w:tc>
          <w:tcPr>
            <w:tcW w:w="4536" w:type="dxa"/>
            <w:shd w:val="clear" w:color="auto" w:fill="BDD6EE" w:themeFill="accent1" w:themeFillTint="66"/>
            <w:vAlign w:val="center"/>
          </w:tcPr>
          <w:p w14:paraId="6C8497BF" w14:textId="77777777" w:rsidR="001E2B25" w:rsidRPr="00393D63" w:rsidRDefault="001E2B25" w:rsidP="00F50BB4">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640DABA8" w14:textId="72FA9CC1" w:rsidR="001E2B25" w:rsidRPr="00393D63" w:rsidRDefault="00761854" w:rsidP="00F50BB4">
            <w:pPr>
              <w:autoSpaceDE w:val="0"/>
              <w:autoSpaceDN w:val="0"/>
              <w:adjustRightInd w:val="0"/>
              <w:rPr>
                <w:rFonts w:asciiTheme="minorHAnsi" w:hAnsiTheme="minorHAnsi"/>
                <w:b/>
                <w:bCs/>
                <w:sz w:val="28"/>
                <w:szCs w:val="28"/>
              </w:rPr>
            </w:pPr>
            <w:r>
              <w:rPr>
                <w:rFonts w:asciiTheme="minorHAnsi" w:hAnsiTheme="minorHAnsi"/>
                <w:b/>
                <w:bCs/>
                <w:sz w:val="28"/>
                <w:szCs w:val="28"/>
              </w:rPr>
              <w:t>N</w:t>
            </w:r>
            <w:r w:rsidR="001E2B25">
              <w:rPr>
                <w:rFonts w:asciiTheme="minorHAnsi" w:hAnsiTheme="minorHAnsi"/>
                <w:b/>
                <w:bCs/>
                <w:sz w:val="28"/>
                <w:szCs w:val="28"/>
              </w:rPr>
              <w:t>ebulizátor</w:t>
            </w:r>
            <w:r w:rsidR="001E2B25" w:rsidRPr="00552518">
              <w:rPr>
                <w:rFonts w:asciiTheme="minorHAnsi" w:hAnsiTheme="minorHAnsi"/>
                <w:b/>
                <w:bCs/>
                <w:sz w:val="28"/>
                <w:szCs w:val="28"/>
              </w:rPr>
              <w:t xml:space="preserve"> </w:t>
            </w:r>
            <w:r>
              <w:rPr>
                <w:rFonts w:asciiTheme="minorHAnsi" w:hAnsiTheme="minorHAnsi"/>
                <w:b/>
                <w:bCs/>
                <w:sz w:val="28"/>
                <w:szCs w:val="28"/>
              </w:rPr>
              <w:t>– 28 ks</w:t>
            </w:r>
            <w:r w:rsidR="001E2B25" w:rsidRPr="00552518">
              <w:rPr>
                <w:rFonts w:asciiTheme="minorHAnsi" w:hAnsiTheme="minorHAnsi"/>
                <w:b/>
                <w:bCs/>
                <w:sz w:val="28"/>
                <w:szCs w:val="28"/>
              </w:rPr>
              <w:t xml:space="preserve"> </w:t>
            </w:r>
          </w:p>
        </w:tc>
      </w:tr>
      <w:tr w:rsidR="001E2B25" w:rsidRPr="00654188" w14:paraId="37ACAF25" w14:textId="77777777" w:rsidTr="00F50BB4">
        <w:trPr>
          <w:tblHeader/>
        </w:trPr>
        <w:tc>
          <w:tcPr>
            <w:tcW w:w="4536" w:type="dxa"/>
            <w:shd w:val="clear" w:color="auto" w:fill="F7CAAC" w:themeFill="accent2" w:themeFillTint="66"/>
          </w:tcPr>
          <w:p w14:paraId="5B606534" w14:textId="77777777" w:rsidR="001E2B25" w:rsidRPr="000B3193" w:rsidRDefault="001E2B25" w:rsidP="00F50BB4">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C1763D2" w14:textId="77777777" w:rsidR="001E2B25" w:rsidRPr="00600F8C" w:rsidRDefault="001E2B25" w:rsidP="00F50BB4">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85D204B" w14:textId="77777777" w:rsidR="001E2B25" w:rsidRPr="00600F8C" w:rsidRDefault="001E2B25" w:rsidP="00F50BB4">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E2B25" w:rsidRPr="00C10A7D" w14:paraId="5129547D" w14:textId="77777777" w:rsidTr="00F50BB4">
        <w:tc>
          <w:tcPr>
            <w:tcW w:w="4536" w:type="dxa"/>
          </w:tcPr>
          <w:p w14:paraId="76C7E65F" w14:textId="77777777" w:rsidR="001E2B25" w:rsidRPr="00092942" w:rsidRDefault="001E2B25" w:rsidP="00F50BB4">
            <w:pPr>
              <w:autoSpaceDE w:val="0"/>
              <w:autoSpaceDN w:val="0"/>
              <w:rPr>
                <w:rFonts w:ascii="Calibri" w:hAnsi="Calibri" w:cs="Calibri"/>
                <w:color w:val="000000" w:themeColor="text1"/>
                <w:sz w:val="22"/>
                <w:szCs w:val="22"/>
              </w:rPr>
            </w:pPr>
            <w:r w:rsidRPr="00092942">
              <w:rPr>
                <w:rFonts w:ascii="Calibri" w:hAnsi="Calibri" w:cs="Calibri"/>
                <w:color w:val="000000" w:themeColor="text1"/>
                <w:sz w:val="22"/>
                <w:szCs w:val="22"/>
              </w:rPr>
              <w:t>tepelný zvlhčovač vč. autoklávovatelné komory</w:t>
            </w:r>
          </w:p>
        </w:tc>
        <w:tc>
          <w:tcPr>
            <w:tcW w:w="1276" w:type="dxa"/>
            <w:vAlign w:val="center"/>
          </w:tcPr>
          <w:p w14:paraId="6DDDB2BC"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6D1EC99C"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38A6BD2B" w14:textId="77777777" w:rsidTr="00F50BB4">
        <w:tc>
          <w:tcPr>
            <w:tcW w:w="4536" w:type="dxa"/>
          </w:tcPr>
          <w:p w14:paraId="399B3220" w14:textId="77777777" w:rsidR="001E2B25" w:rsidRPr="00092942" w:rsidRDefault="001E2B25" w:rsidP="00F50BB4">
            <w:pPr>
              <w:rPr>
                <w:rFonts w:ascii="Calibri" w:hAnsi="Calibri" w:cs="Calibri"/>
                <w:color w:val="000000" w:themeColor="text1"/>
                <w:sz w:val="22"/>
                <w:szCs w:val="22"/>
              </w:rPr>
            </w:pPr>
            <w:r w:rsidRPr="00092942">
              <w:rPr>
                <w:rFonts w:ascii="Calibri" w:hAnsi="Calibri" w:cs="Calibri"/>
                <w:color w:val="000000" w:themeColor="text1"/>
                <w:sz w:val="22"/>
                <w:szCs w:val="22"/>
              </w:rPr>
              <w:t>možnost plynulého nastavení teploty v min. rozsahu 28,5 - 33 st.C</w:t>
            </w:r>
          </w:p>
        </w:tc>
        <w:tc>
          <w:tcPr>
            <w:tcW w:w="1276" w:type="dxa"/>
            <w:vAlign w:val="center"/>
          </w:tcPr>
          <w:p w14:paraId="11DED2FD"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2C50F3D3"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28CE01DF" w14:textId="77777777" w:rsidTr="00F50BB4">
        <w:tc>
          <w:tcPr>
            <w:tcW w:w="4536" w:type="dxa"/>
          </w:tcPr>
          <w:p w14:paraId="6FB3FA74" w14:textId="77777777" w:rsidR="001E2B25" w:rsidRPr="00092942" w:rsidRDefault="001E2B25" w:rsidP="00F50BB4">
            <w:pPr>
              <w:tabs>
                <w:tab w:val="left" w:pos="2955"/>
              </w:tabs>
              <w:rPr>
                <w:rFonts w:ascii="Calibri" w:hAnsi="Calibri" w:cs="Calibri"/>
                <w:color w:val="000000" w:themeColor="text1"/>
                <w:sz w:val="22"/>
                <w:szCs w:val="22"/>
              </w:rPr>
            </w:pPr>
            <w:r w:rsidRPr="00092942">
              <w:rPr>
                <w:rFonts w:ascii="Calibri" w:hAnsi="Calibri" w:cs="Calibri"/>
                <w:color w:val="000000" w:themeColor="text1"/>
                <w:sz w:val="22"/>
                <w:szCs w:val="22"/>
              </w:rPr>
              <w:t>objem komory min. 300 ml</w:t>
            </w:r>
          </w:p>
        </w:tc>
        <w:tc>
          <w:tcPr>
            <w:tcW w:w="1276" w:type="dxa"/>
            <w:vAlign w:val="center"/>
          </w:tcPr>
          <w:p w14:paraId="669C1A31"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0DA5B2EE"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32D64BC0" w14:textId="77777777" w:rsidTr="00F50BB4">
        <w:tc>
          <w:tcPr>
            <w:tcW w:w="4536" w:type="dxa"/>
          </w:tcPr>
          <w:p w14:paraId="022A7E57" w14:textId="77777777" w:rsidR="001E2B25" w:rsidRPr="00092942" w:rsidRDefault="001E2B25" w:rsidP="00F50BB4">
            <w:pPr>
              <w:rPr>
                <w:rFonts w:ascii="Calibri" w:hAnsi="Calibri" w:cs="Calibri"/>
                <w:color w:val="000000" w:themeColor="text1"/>
                <w:sz w:val="22"/>
                <w:szCs w:val="22"/>
              </w:rPr>
            </w:pPr>
            <w:r w:rsidRPr="00092942">
              <w:rPr>
                <w:rFonts w:ascii="Calibri" w:hAnsi="Calibri" w:cs="Calibri"/>
                <w:color w:val="000000" w:themeColor="text1"/>
                <w:sz w:val="22"/>
                <w:szCs w:val="22"/>
              </w:rPr>
              <w:t xml:space="preserve">Nebulizátor obsahuje průtokoměr nebo rotametr </w:t>
            </w:r>
          </w:p>
        </w:tc>
        <w:tc>
          <w:tcPr>
            <w:tcW w:w="1276" w:type="dxa"/>
            <w:vAlign w:val="center"/>
          </w:tcPr>
          <w:p w14:paraId="333D772B"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581182DD"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24D53EA2" w14:textId="77777777" w:rsidTr="00F50BB4">
        <w:tc>
          <w:tcPr>
            <w:tcW w:w="4536" w:type="dxa"/>
          </w:tcPr>
          <w:p w14:paraId="6224DB11" w14:textId="77777777" w:rsidR="001E2B25" w:rsidRPr="00092942" w:rsidRDefault="001E2B25" w:rsidP="00F50BB4">
            <w:pPr>
              <w:autoSpaceDE w:val="0"/>
              <w:autoSpaceDN w:val="0"/>
              <w:rPr>
                <w:rFonts w:ascii="Calibri" w:hAnsi="Calibri" w:cs="Calibri"/>
                <w:color w:val="000000" w:themeColor="text1"/>
                <w:sz w:val="22"/>
                <w:szCs w:val="22"/>
              </w:rPr>
            </w:pPr>
            <w:r w:rsidRPr="00092942">
              <w:rPr>
                <w:rFonts w:ascii="Calibri" w:hAnsi="Calibri" w:cs="Calibri"/>
                <w:color w:val="000000" w:themeColor="text1"/>
                <w:sz w:val="22"/>
                <w:szCs w:val="22"/>
              </w:rPr>
              <w:t>nebulizátor umožňuje nastavit koncentraci v min rozmezí 35 - 100 % O2 ve směsi</w:t>
            </w:r>
          </w:p>
          <w:p w14:paraId="3AF4FE9B" w14:textId="77777777" w:rsidR="001E2B25" w:rsidRPr="00092942" w:rsidRDefault="001E2B25" w:rsidP="00F50BB4">
            <w:pPr>
              <w:autoSpaceDE w:val="0"/>
              <w:autoSpaceDN w:val="0"/>
              <w:rPr>
                <w:rFonts w:ascii="Calibri" w:hAnsi="Calibri" w:cs="Calibri"/>
                <w:color w:val="000000" w:themeColor="text1"/>
                <w:sz w:val="22"/>
                <w:szCs w:val="22"/>
              </w:rPr>
            </w:pPr>
          </w:p>
        </w:tc>
        <w:tc>
          <w:tcPr>
            <w:tcW w:w="1276" w:type="dxa"/>
            <w:vAlign w:val="center"/>
          </w:tcPr>
          <w:p w14:paraId="63D85B92"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7E3DD304"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757AF8E3" w14:textId="77777777" w:rsidTr="00F50BB4">
        <w:tc>
          <w:tcPr>
            <w:tcW w:w="4536" w:type="dxa"/>
          </w:tcPr>
          <w:p w14:paraId="23D0A232" w14:textId="77777777" w:rsidR="001E2B25" w:rsidRPr="00092942" w:rsidRDefault="001E2B25" w:rsidP="00F50BB4">
            <w:pPr>
              <w:autoSpaceDE w:val="0"/>
              <w:autoSpaceDN w:val="0"/>
              <w:rPr>
                <w:rFonts w:ascii="Calibri" w:hAnsi="Calibri" w:cs="Calibri"/>
                <w:color w:val="000000" w:themeColor="text1"/>
                <w:sz w:val="22"/>
                <w:szCs w:val="22"/>
              </w:rPr>
            </w:pPr>
            <w:r w:rsidRPr="00092942">
              <w:rPr>
                <w:rFonts w:ascii="Calibri" w:hAnsi="Calibri" w:cs="Calibri"/>
                <w:color w:val="000000" w:themeColor="text1"/>
                <w:sz w:val="22"/>
                <w:szCs w:val="22"/>
              </w:rPr>
              <w:t>držák přístroje a flexibilní hadice</w:t>
            </w:r>
          </w:p>
        </w:tc>
        <w:tc>
          <w:tcPr>
            <w:tcW w:w="1276" w:type="dxa"/>
            <w:vAlign w:val="center"/>
          </w:tcPr>
          <w:p w14:paraId="15EB2DBC"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7A464967"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35985B6E" w14:textId="77777777" w:rsidTr="00F50BB4">
        <w:tc>
          <w:tcPr>
            <w:tcW w:w="4536" w:type="dxa"/>
          </w:tcPr>
          <w:p w14:paraId="09AB2211" w14:textId="77777777" w:rsidR="001E2B25" w:rsidRPr="00092942" w:rsidRDefault="001E2B25" w:rsidP="00F50BB4">
            <w:pPr>
              <w:rPr>
                <w:rFonts w:ascii="Calibri" w:hAnsi="Calibri" w:cs="Calibri"/>
                <w:color w:val="000000" w:themeColor="text1"/>
                <w:sz w:val="22"/>
                <w:szCs w:val="22"/>
              </w:rPr>
            </w:pPr>
            <w:r w:rsidRPr="00092942">
              <w:rPr>
                <w:rFonts w:ascii="Calibri" w:hAnsi="Calibri" w:cs="Calibri"/>
                <w:color w:val="000000" w:themeColor="text1"/>
                <w:sz w:val="22"/>
                <w:szCs w:val="22"/>
              </w:rPr>
              <w:t>hadička propojovací se šroubením</w:t>
            </w:r>
          </w:p>
        </w:tc>
        <w:tc>
          <w:tcPr>
            <w:tcW w:w="1276" w:type="dxa"/>
            <w:vAlign w:val="center"/>
          </w:tcPr>
          <w:p w14:paraId="0546948F"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c>
          <w:tcPr>
            <w:tcW w:w="3821" w:type="dxa"/>
            <w:vAlign w:val="center"/>
          </w:tcPr>
          <w:p w14:paraId="7FBDF621" w14:textId="77777777" w:rsidR="001E2B25" w:rsidRPr="00092942" w:rsidRDefault="001E2B25" w:rsidP="00F50BB4">
            <w:pPr>
              <w:jc w:val="center"/>
              <w:rPr>
                <w:rFonts w:ascii="Calibri" w:hAnsi="Calibri" w:cs="Calibri"/>
                <w:color w:val="FF0000"/>
                <w:sz w:val="22"/>
                <w:szCs w:val="22"/>
              </w:rPr>
            </w:pPr>
            <w:r w:rsidRPr="00092942">
              <w:rPr>
                <w:rFonts w:ascii="Calibri" w:hAnsi="Calibri" w:cs="Calibri"/>
                <w:color w:val="FF0000"/>
                <w:sz w:val="22"/>
                <w:szCs w:val="22"/>
              </w:rPr>
              <w:t>(doplní dodavatel)</w:t>
            </w:r>
          </w:p>
        </w:tc>
      </w:tr>
      <w:tr w:rsidR="001E2B25" w:rsidRPr="00C10A7D" w14:paraId="461BFF41" w14:textId="77777777" w:rsidTr="00F50BB4">
        <w:tc>
          <w:tcPr>
            <w:tcW w:w="4536" w:type="dxa"/>
          </w:tcPr>
          <w:p w14:paraId="30F86626" w14:textId="77777777" w:rsidR="001E2B25" w:rsidRPr="00092942" w:rsidRDefault="001E2B25" w:rsidP="00F50BB4">
            <w:pPr>
              <w:autoSpaceDE w:val="0"/>
              <w:autoSpaceDN w:val="0"/>
              <w:rPr>
                <w:rFonts w:ascii="Calibri" w:hAnsi="Calibri" w:cs="Calibri"/>
                <w:color w:val="000000" w:themeColor="text1"/>
                <w:sz w:val="22"/>
                <w:szCs w:val="22"/>
              </w:rPr>
            </w:pPr>
            <w:r w:rsidRPr="00092942">
              <w:rPr>
                <w:rFonts w:ascii="Calibri" w:hAnsi="Calibri" w:cs="Calibri"/>
                <w:color w:val="000000" w:themeColor="text1"/>
                <w:sz w:val="22"/>
                <w:szCs w:val="22"/>
              </w:rPr>
              <w:t>hadice polyesterová</w:t>
            </w:r>
          </w:p>
        </w:tc>
        <w:tc>
          <w:tcPr>
            <w:tcW w:w="1276" w:type="dxa"/>
          </w:tcPr>
          <w:p w14:paraId="44739BD1" w14:textId="77777777" w:rsidR="001E2B25" w:rsidRPr="00092942" w:rsidRDefault="001E2B25" w:rsidP="00F50BB4">
            <w:pPr>
              <w:jc w:val="center"/>
              <w:rPr>
                <w:sz w:val="22"/>
                <w:szCs w:val="22"/>
              </w:rPr>
            </w:pPr>
            <w:r w:rsidRPr="00092942">
              <w:rPr>
                <w:rFonts w:ascii="Calibri" w:hAnsi="Calibri" w:cs="Calibri"/>
                <w:color w:val="FF0000"/>
                <w:sz w:val="22"/>
                <w:szCs w:val="22"/>
              </w:rPr>
              <w:t>(doplní dodavatel)</w:t>
            </w:r>
          </w:p>
        </w:tc>
        <w:tc>
          <w:tcPr>
            <w:tcW w:w="3821" w:type="dxa"/>
          </w:tcPr>
          <w:p w14:paraId="222D7CDD" w14:textId="77777777" w:rsidR="001E2B25" w:rsidRPr="00092942" w:rsidRDefault="001E2B25" w:rsidP="00F50BB4">
            <w:pPr>
              <w:jc w:val="center"/>
              <w:rPr>
                <w:sz w:val="22"/>
                <w:szCs w:val="22"/>
              </w:rPr>
            </w:pPr>
            <w:r w:rsidRPr="00092942">
              <w:rPr>
                <w:rFonts w:ascii="Calibri" w:hAnsi="Calibri" w:cs="Calibri"/>
                <w:color w:val="FF0000"/>
                <w:sz w:val="22"/>
                <w:szCs w:val="22"/>
              </w:rPr>
              <w:t>(doplní dodavatel)</w:t>
            </w:r>
          </w:p>
        </w:tc>
      </w:tr>
    </w:tbl>
    <w:p w14:paraId="1F637FA3" w14:textId="4AE365F9" w:rsidR="00D7314B" w:rsidRPr="00475D03" w:rsidRDefault="00D7314B" w:rsidP="00D7314B">
      <w:pPr>
        <w:pStyle w:val="Nadpis2"/>
        <w:spacing w:before="240"/>
        <w:rPr>
          <w:rFonts w:asciiTheme="minorHAnsi" w:hAnsiTheme="minorHAnsi"/>
          <w:sz w:val="22"/>
          <w:szCs w:val="22"/>
        </w:rPr>
      </w:pPr>
      <w:r w:rsidRPr="00475D03">
        <w:rPr>
          <w:rFonts w:asciiTheme="minorHAnsi" w:hAnsiTheme="minorHAnsi"/>
          <w:sz w:val="22"/>
          <w:szCs w:val="22"/>
        </w:rPr>
        <w:t>Na všec</w:t>
      </w:r>
      <w:r w:rsidR="000E143A" w:rsidRPr="00475D03">
        <w:rPr>
          <w:rFonts w:asciiTheme="minorHAnsi" w:hAnsiTheme="minorHAnsi"/>
          <w:sz w:val="22"/>
          <w:szCs w:val="22"/>
        </w:rPr>
        <w:t>h</w:t>
      </w:r>
      <w:r w:rsidRPr="00475D03">
        <w:rPr>
          <w:rFonts w:asciiTheme="minorHAnsi" w:hAnsiTheme="minorHAnsi"/>
          <w:sz w:val="22"/>
          <w:szCs w:val="22"/>
        </w:rPr>
        <w:t>ny číselné parametry je tolerance +/- 10%, mimo číselné parametry uvedené jako min. nebo max.</w:t>
      </w:r>
    </w:p>
    <w:p w14:paraId="49AF84C6" w14:textId="77777777" w:rsidR="002D6F30" w:rsidRPr="00475D03" w:rsidRDefault="002D6F30" w:rsidP="002A27EE">
      <w:pPr>
        <w:rPr>
          <w:rFonts w:asciiTheme="minorHAnsi" w:hAnsiTheme="minorHAnsi"/>
          <w:sz w:val="22"/>
          <w:szCs w:val="22"/>
          <w:lang w:eastAsia="en-US"/>
        </w:rPr>
      </w:pPr>
    </w:p>
    <w:p w14:paraId="09EC6C7C" w14:textId="4E0A995A" w:rsidR="00E5503C" w:rsidRPr="00475D03" w:rsidRDefault="00E5503C" w:rsidP="00E5503C">
      <w:pPr>
        <w:rPr>
          <w:sz w:val="22"/>
          <w:szCs w:val="22"/>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5503C" w:rsidRPr="00475D03" w14:paraId="0E8BB50E" w14:textId="77777777" w:rsidTr="002F5238">
        <w:trPr>
          <w:tblHeader/>
          <w:jc w:val="center"/>
        </w:trPr>
        <w:tc>
          <w:tcPr>
            <w:tcW w:w="7797" w:type="dxa"/>
            <w:shd w:val="clear" w:color="auto" w:fill="F7CAAC" w:themeFill="accent2" w:themeFillTint="66"/>
          </w:tcPr>
          <w:p w14:paraId="1E5E85B1" w14:textId="77777777" w:rsidR="00E5503C" w:rsidRPr="00475D03" w:rsidRDefault="00E5503C" w:rsidP="002F5238">
            <w:pPr>
              <w:pStyle w:val="Nadpis6"/>
              <w:suppressAutoHyphens w:val="0"/>
              <w:autoSpaceDE w:val="0"/>
              <w:autoSpaceDN w:val="0"/>
              <w:adjustRightInd w:val="0"/>
              <w:jc w:val="center"/>
              <w:outlineLvl w:val="5"/>
              <w:rPr>
                <w:rFonts w:eastAsia="Times New Roman" w:cs="Times New Roman"/>
                <w:lang w:eastAsia="cs-CZ"/>
              </w:rPr>
            </w:pPr>
          </w:p>
          <w:p w14:paraId="2B3B9A97" w14:textId="7496A8FF" w:rsidR="00E5503C" w:rsidRPr="00475D03" w:rsidRDefault="00E5503C" w:rsidP="002F5238">
            <w:pPr>
              <w:pStyle w:val="Nadpis6"/>
              <w:suppressAutoHyphens w:val="0"/>
              <w:autoSpaceDE w:val="0"/>
              <w:autoSpaceDN w:val="0"/>
              <w:adjustRightInd w:val="0"/>
              <w:jc w:val="center"/>
              <w:outlineLvl w:val="5"/>
              <w:rPr>
                <w:rFonts w:eastAsia="Times New Roman" w:cs="Times New Roman"/>
                <w:lang w:eastAsia="cs-CZ"/>
              </w:rPr>
            </w:pPr>
            <w:r w:rsidRPr="00475D03">
              <w:rPr>
                <w:rFonts w:eastAsia="Times New Roman" w:cs="Times New Roman"/>
                <w:lang w:eastAsia="cs-CZ"/>
              </w:rPr>
              <w:t>Další energetické podmínky a požadavky</w:t>
            </w:r>
          </w:p>
        </w:tc>
        <w:tc>
          <w:tcPr>
            <w:tcW w:w="1842" w:type="dxa"/>
            <w:shd w:val="clear" w:color="auto" w:fill="F7CAAC" w:themeFill="accent2" w:themeFillTint="66"/>
          </w:tcPr>
          <w:p w14:paraId="28A64AAE" w14:textId="77777777" w:rsidR="00E5503C" w:rsidRPr="00475D03" w:rsidRDefault="00E5503C" w:rsidP="002F5238">
            <w:pPr>
              <w:autoSpaceDE w:val="0"/>
              <w:autoSpaceDN w:val="0"/>
              <w:adjustRightInd w:val="0"/>
              <w:jc w:val="center"/>
              <w:rPr>
                <w:rFonts w:ascii="Calibri" w:hAnsi="Calibri"/>
                <w:b/>
                <w:sz w:val="22"/>
                <w:szCs w:val="22"/>
              </w:rPr>
            </w:pPr>
            <w:r w:rsidRPr="00475D03">
              <w:rPr>
                <w:rFonts w:ascii="Calibri" w:hAnsi="Calibri"/>
                <w:b/>
                <w:sz w:val="22"/>
                <w:szCs w:val="22"/>
              </w:rPr>
              <w:t>Splnění požadavku ANO/NE</w:t>
            </w:r>
          </w:p>
        </w:tc>
      </w:tr>
      <w:tr w:rsidR="00E5503C" w:rsidRPr="00475D03" w14:paraId="64E2A645" w14:textId="77777777" w:rsidTr="002F5238">
        <w:trPr>
          <w:jc w:val="center"/>
        </w:trPr>
        <w:tc>
          <w:tcPr>
            <w:tcW w:w="7797" w:type="dxa"/>
            <w:vAlign w:val="center"/>
          </w:tcPr>
          <w:p w14:paraId="20AD8446" w14:textId="77777777" w:rsidR="00E5503C" w:rsidRPr="00475D03" w:rsidRDefault="00E5503C" w:rsidP="002F5238">
            <w:pPr>
              <w:jc w:val="both"/>
              <w:rPr>
                <w:rFonts w:asciiTheme="minorHAnsi" w:hAnsiTheme="minorHAnsi" w:cstheme="minorHAnsi"/>
                <w:color w:val="0070C0"/>
                <w:sz w:val="22"/>
                <w:szCs w:val="22"/>
              </w:rPr>
            </w:pPr>
            <w:r w:rsidRPr="00475D03">
              <w:rPr>
                <w:rFonts w:asciiTheme="minorHAnsi" w:hAnsiTheme="minorHAnsi" w:cstheme="minorHAnsi"/>
                <w:b/>
                <w:bCs/>
                <w:sz w:val="22"/>
                <w:szCs w:val="22"/>
                <w:lang w:eastAsia="en-US"/>
              </w:rPr>
              <w:t xml:space="preserve">„Požadavky pro zachování nezbytné funkčnosti zařízení dle ČSN EN 60601-1 ed. 2 2007“ </w:t>
            </w:r>
            <w:r w:rsidRPr="00475D03">
              <w:rPr>
                <w:rFonts w:asciiTheme="minorHAnsi" w:hAnsiTheme="minorHAnsi" w:cstheme="minorHAnsi"/>
                <w:sz w:val="22"/>
                <w:szCs w:val="22"/>
                <w:lang w:eastAsia="en-US"/>
              </w:rPr>
              <w:t>uchazeč uvede veškeré požadavky pro zachování nezbytné funkčnosti zařízení.</w:t>
            </w:r>
            <w:r w:rsidRPr="00475D03">
              <w:rPr>
                <w:rFonts w:asciiTheme="minorHAnsi" w:hAnsiTheme="minorHAnsi" w:cstheme="minorHAnsi"/>
                <w:color w:val="0070C0"/>
                <w:sz w:val="22"/>
                <w:szCs w:val="22"/>
              </w:rPr>
              <w:t xml:space="preserve"> </w:t>
            </w:r>
          </w:p>
          <w:p w14:paraId="3BB82F05" w14:textId="77777777" w:rsidR="00E5503C" w:rsidRPr="00475D03" w:rsidRDefault="00E5503C" w:rsidP="002F5238">
            <w:pPr>
              <w:jc w:val="both"/>
              <w:rPr>
                <w:rFonts w:asciiTheme="minorHAnsi" w:hAnsiTheme="minorHAnsi" w:cstheme="minorHAnsi"/>
                <w:color w:val="0070C0"/>
                <w:sz w:val="22"/>
                <w:szCs w:val="22"/>
              </w:rPr>
            </w:pPr>
            <w:r w:rsidRPr="00475D03">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sidRPr="00475D03">
              <w:rPr>
                <w:rFonts w:asciiTheme="minorHAnsi" w:hAnsiTheme="minorHAnsi" w:cstheme="minorHAnsi"/>
                <w:color w:val="0070C0"/>
                <w:sz w:val="22"/>
                <w:szCs w:val="22"/>
              </w:rPr>
              <w:t xml:space="preserve"> </w:t>
            </w:r>
          </w:p>
        </w:tc>
        <w:tc>
          <w:tcPr>
            <w:tcW w:w="1842" w:type="dxa"/>
          </w:tcPr>
          <w:p w14:paraId="23F0B87F" w14:textId="77777777" w:rsidR="00E5503C" w:rsidRPr="00475D03" w:rsidRDefault="00E5503C" w:rsidP="002F5238">
            <w:pPr>
              <w:jc w:val="center"/>
              <w:rPr>
                <w:sz w:val="22"/>
                <w:szCs w:val="22"/>
              </w:rPr>
            </w:pPr>
            <w:r w:rsidRPr="00475D03">
              <w:rPr>
                <w:rFonts w:ascii="Calibri" w:hAnsi="Calibri" w:cs="Calibri"/>
                <w:color w:val="FF0000"/>
                <w:sz w:val="22"/>
                <w:szCs w:val="22"/>
              </w:rPr>
              <w:t>(doplní dodavatel)</w:t>
            </w:r>
          </w:p>
        </w:tc>
      </w:tr>
      <w:tr w:rsidR="00E5503C" w:rsidRPr="00475D03" w14:paraId="21A2E90A" w14:textId="77777777" w:rsidTr="002F5238">
        <w:trPr>
          <w:jc w:val="center"/>
        </w:trPr>
        <w:tc>
          <w:tcPr>
            <w:tcW w:w="7797" w:type="dxa"/>
            <w:vAlign w:val="center"/>
          </w:tcPr>
          <w:p w14:paraId="66117F81" w14:textId="77777777" w:rsidR="00E5503C" w:rsidRPr="00475D03" w:rsidRDefault="00E5503C" w:rsidP="002F5238">
            <w:pPr>
              <w:jc w:val="both"/>
              <w:rPr>
                <w:rFonts w:asciiTheme="minorHAnsi" w:hAnsiTheme="minorHAnsi" w:cstheme="minorHAnsi"/>
                <w:b/>
                <w:bCs/>
                <w:color w:val="0070C0"/>
                <w:sz w:val="22"/>
                <w:szCs w:val="22"/>
                <w:u w:val="single"/>
              </w:rPr>
            </w:pPr>
            <w:r w:rsidRPr="00475D03">
              <w:rPr>
                <w:rFonts w:asciiTheme="minorHAnsi" w:hAnsiTheme="minorHAnsi" w:cstheme="minorHAnsi"/>
                <w:sz w:val="22"/>
                <w:szCs w:val="22"/>
                <w:lang w:eastAsia="en-US"/>
              </w:rPr>
              <w:t>V případě požadavku na nouzový zdroj napájení (UPS)</w:t>
            </w:r>
            <w:r w:rsidRPr="00475D03">
              <w:rPr>
                <w:rFonts w:asciiTheme="minorHAnsi" w:hAnsiTheme="minorHAnsi" w:cstheme="minorHAnsi"/>
                <w:color w:val="0070C0"/>
                <w:sz w:val="22"/>
                <w:szCs w:val="22"/>
              </w:rPr>
              <w:t xml:space="preserve"> </w:t>
            </w:r>
            <w:r w:rsidRPr="00475D03">
              <w:rPr>
                <w:rFonts w:asciiTheme="minorHAnsi" w:hAnsiTheme="minorHAnsi" w:cstheme="minorHAnsi"/>
                <w:b/>
                <w:bCs/>
                <w:sz w:val="22"/>
                <w:szCs w:val="22"/>
                <w:lang w:eastAsia="en-US"/>
              </w:rPr>
              <w:t xml:space="preserve">zdroj musí být součástí nabídky </w:t>
            </w:r>
            <w:r w:rsidRPr="00475D03">
              <w:rPr>
                <w:rFonts w:asciiTheme="minorHAnsi" w:hAnsiTheme="minorHAnsi" w:cstheme="minorHAnsi"/>
                <w:sz w:val="22"/>
                <w:szCs w:val="22"/>
                <w:lang w:eastAsia="en-US"/>
              </w:rPr>
              <w:t>a v souladu s článkem 7.9.2.3 výše citované normy tento samostatný napájecí zdroj</w:t>
            </w:r>
            <w:r w:rsidRPr="00475D03">
              <w:rPr>
                <w:rFonts w:asciiTheme="minorHAnsi" w:hAnsiTheme="minorHAnsi" w:cstheme="minorHAnsi"/>
                <w:color w:val="0070C0"/>
                <w:sz w:val="22"/>
                <w:szCs w:val="22"/>
              </w:rPr>
              <w:t xml:space="preserve"> </w:t>
            </w:r>
            <w:r w:rsidRPr="00475D03">
              <w:rPr>
                <w:rFonts w:asciiTheme="minorHAnsi" w:hAnsiTheme="minorHAnsi" w:cstheme="minorHAnsi"/>
                <w:sz w:val="22"/>
                <w:szCs w:val="22"/>
                <w:lang w:eastAsia="en-US"/>
              </w:rPr>
              <w:t xml:space="preserve">se </w:t>
            </w:r>
            <w:r w:rsidRPr="00475D03">
              <w:rPr>
                <w:rFonts w:asciiTheme="minorHAnsi" w:hAnsiTheme="minorHAnsi" w:cstheme="minorHAnsi"/>
                <w:b/>
                <w:bCs/>
                <w:sz w:val="22"/>
                <w:szCs w:val="22"/>
                <w:lang w:eastAsia="en-US"/>
              </w:rPr>
              <w:t>stane součástí dodávaného ME přístroje</w:t>
            </w:r>
            <w:r w:rsidRPr="00475D03">
              <w:rPr>
                <w:rFonts w:asciiTheme="minorHAnsi" w:hAnsiTheme="minorHAnsi" w:cstheme="minorHAnsi"/>
                <w:sz w:val="22"/>
                <w:szCs w:val="22"/>
                <w:lang w:eastAsia="en-US"/>
              </w:rPr>
              <w:t>. Musí být dodaná jasná specifikace na připojení tohoto nouzového zdroje do napájecí sítě.</w:t>
            </w:r>
          </w:p>
          <w:p w14:paraId="48555AEB" w14:textId="77777777" w:rsidR="00E5503C" w:rsidRPr="00475D03" w:rsidRDefault="00E5503C" w:rsidP="002F5238">
            <w:pPr>
              <w:jc w:val="both"/>
              <w:rPr>
                <w:rFonts w:asciiTheme="minorHAnsi" w:hAnsiTheme="minorHAnsi" w:cstheme="minorHAnsi"/>
                <w:b/>
                <w:bCs/>
                <w:sz w:val="22"/>
                <w:szCs w:val="22"/>
                <w:u w:val="single"/>
                <w:lang w:eastAsia="en-US"/>
              </w:rPr>
            </w:pPr>
            <w:r w:rsidRPr="00475D03">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D8DC829" w14:textId="77777777" w:rsidR="00E5503C" w:rsidRPr="00475D03" w:rsidRDefault="00E5503C" w:rsidP="002F5238">
            <w:pPr>
              <w:jc w:val="both"/>
              <w:rPr>
                <w:rFonts w:asciiTheme="minorHAnsi" w:hAnsiTheme="minorHAnsi" w:cstheme="minorHAnsi"/>
                <w:sz w:val="22"/>
                <w:szCs w:val="22"/>
                <w:lang w:eastAsia="en-US"/>
              </w:rPr>
            </w:pPr>
            <w:r w:rsidRPr="00475D03">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34477C2" w14:textId="77777777" w:rsidR="00E5503C" w:rsidRPr="00475D03" w:rsidRDefault="00E5503C" w:rsidP="002F5238">
            <w:pPr>
              <w:autoSpaceDE w:val="0"/>
              <w:autoSpaceDN w:val="0"/>
              <w:adjustRightInd w:val="0"/>
              <w:rPr>
                <w:rFonts w:asciiTheme="minorHAnsi" w:hAnsiTheme="minorHAnsi" w:cstheme="minorHAnsi"/>
                <w:sz w:val="22"/>
                <w:szCs w:val="22"/>
              </w:rPr>
            </w:pPr>
            <w:r w:rsidRPr="00475D03">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44B2FD0E" w14:textId="77777777" w:rsidR="00E5503C" w:rsidRPr="00475D03" w:rsidRDefault="00E5503C" w:rsidP="002F5238">
            <w:pPr>
              <w:jc w:val="center"/>
              <w:rPr>
                <w:sz w:val="22"/>
                <w:szCs w:val="22"/>
              </w:rPr>
            </w:pPr>
            <w:r w:rsidRPr="00475D03">
              <w:rPr>
                <w:rFonts w:ascii="Calibri" w:hAnsi="Calibri" w:cs="Calibri"/>
                <w:color w:val="FF0000"/>
                <w:sz w:val="22"/>
                <w:szCs w:val="22"/>
              </w:rPr>
              <w:t>(doplní dodavatel)</w:t>
            </w:r>
          </w:p>
        </w:tc>
      </w:tr>
    </w:tbl>
    <w:p w14:paraId="07A9F667" w14:textId="3A9C1A22" w:rsidR="00E5503C" w:rsidRDefault="00E5503C" w:rsidP="00E5503C">
      <w:pPr>
        <w:rPr>
          <w:sz w:val="22"/>
          <w:szCs w:val="22"/>
          <w:lang w:eastAsia="en-US"/>
        </w:rPr>
      </w:pPr>
    </w:p>
    <w:p w14:paraId="11A35356" w14:textId="00EB942A" w:rsidR="00D05340" w:rsidRDefault="00D05340" w:rsidP="00E5503C">
      <w:pPr>
        <w:rPr>
          <w:sz w:val="22"/>
          <w:szCs w:val="22"/>
          <w:lang w:eastAsia="en-US"/>
        </w:rPr>
      </w:pPr>
    </w:p>
    <w:p w14:paraId="689FB565" w14:textId="77777777" w:rsidR="00D05340" w:rsidRDefault="00D05340" w:rsidP="00E5503C">
      <w:pPr>
        <w:rPr>
          <w:sz w:val="22"/>
          <w:szCs w:val="22"/>
          <w:lang w:eastAsia="en-US"/>
        </w:rPr>
      </w:pPr>
    </w:p>
    <w:p w14:paraId="324FCAEB" w14:textId="77777777" w:rsidR="00D05340" w:rsidRPr="00D05340" w:rsidRDefault="00D05340" w:rsidP="00D05340">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3A286401" w14:textId="77777777" w:rsidR="00D05340" w:rsidRPr="00D05340" w:rsidRDefault="00D05340" w:rsidP="00D05340">
      <w:pPr>
        <w:rPr>
          <w:lang w:eastAsia="en-US"/>
        </w:rPr>
      </w:pPr>
    </w:p>
    <w:p w14:paraId="3A91418C" w14:textId="77777777" w:rsidR="00D05340" w:rsidRPr="00D05340" w:rsidRDefault="00D05340" w:rsidP="00D05340">
      <w:pPr>
        <w:rPr>
          <w:lang w:eastAsia="en-US"/>
        </w:rPr>
      </w:pPr>
      <w:r w:rsidRPr="00D05340">
        <w:rPr>
          <w:lang w:eastAsia="en-US"/>
        </w:rPr>
        <w:t>DODAVATEL MÁ POVINNOST VYPLNIT SPLNĚNÍ POŽADAVKU V TABULCE ANO/NE. SPNĚNÍ UVEDENÝCH POŽADAVKŮ POŽADUJE ZADAVATEL V RÁMCI DODÁVKY PŘEDMĚTU PLNĚNÍ.</w:t>
      </w:r>
    </w:p>
    <w:p w14:paraId="718C60C3" w14:textId="77777777" w:rsidR="00D05340" w:rsidRPr="00D05340" w:rsidRDefault="00D05340" w:rsidP="00D05340">
      <w:pPr>
        <w:rPr>
          <w:lang w:eastAsia="en-US"/>
        </w:rPr>
      </w:pPr>
    </w:p>
    <w:tbl>
      <w:tblPr>
        <w:tblStyle w:val="Mkatabulky1"/>
        <w:tblW w:w="9639" w:type="dxa"/>
        <w:jc w:val="center"/>
        <w:tblLook w:val="04A0" w:firstRow="1" w:lastRow="0" w:firstColumn="1" w:lastColumn="0" w:noHBand="0" w:noVBand="1"/>
      </w:tblPr>
      <w:tblGrid>
        <w:gridCol w:w="7797"/>
        <w:gridCol w:w="1842"/>
      </w:tblGrid>
      <w:tr w:rsidR="00D05340" w:rsidRPr="00D05340" w14:paraId="539E0571" w14:textId="77777777" w:rsidTr="00A84567">
        <w:trPr>
          <w:tblHeader/>
          <w:jc w:val="center"/>
        </w:trPr>
        <w:tc>
          <w:tcPr>
            <w:tcW w:w="7796" w:type="dxa"/>
            <w:shd w:val="clear" w:color="auto" w:fill="F7CAAC" w:themeFill="accent2" w:themeFillTint="66"/>
          </w:tcPr>
          <w:p w14:paraId="31690EEE" w14:textId="77777777" w:rsidR="00D05340" w:rsidRPr="00D05340" w:rsidRDefault="00D05340" w:rsidP="00D05340">
            <w:pPr>
              <w:keepNext/>
              <w:jc w:val="center"/>
              <w:outlineLvl w:val="5"/>
              <w:rPr>
                <w:rFonts w:ascii="Calibri" w:hAnsi="Calibri"/>
                <w:b/>
                <w:sz w:val="22"/>
                <w:szCs w:val="22"/>
              </w:rPr>
            </w:pPr>
          </w:p>
          <w:p w14:paraId="266E7E21" w14:textId="77777777" w:rsidR="00D05340" w:rsidRPr="00D05340" w:rsidRDefault="00D05340" w:rsidP="00D05340">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7E97E45" w14:textId="77777777" w:rsidR="00D05340" w:rsidRPr="00D05340" w:rsidRDefault="00D05340" w:rsidP="00D05340">
            <w:pPr>
              <w:jc w:val="center"/>
              <w:rPr>
                <w:rFonts w:ascii="Calibri" w:hAnsi="Calibri"/>
                <w:b/>
                <w:sz w:val="22"/>
                <w:szCs w:val="22"/>
              </w:rPr>
            </w:pPr>
            <w:r w:rsidRPr="00D05340">
              <w:rPr>
                <w:rFonts w:ascii="Calibri" w:hAnsi="Calibri"/>
                <w:b/>
                <w:sz w:val="22"/>
                <w:szCs w:val="22"/>
              </w:rPr>
              <w:t>Splnění požadavku ANO/NE</w:t>
            </w:r>
          </w:p>
        </w:tc>
      </w:tr>
      <w:tr w:rsidR="00D05340" w:rsidRPr="00D05340" w14:paraId="307B7F5C" w14:textId="77777777" w:rsidTr="00A84567">
        <w:trPr>
          <w:jc w:val="center"/>
        </w:trPr>
        <w:tc>
          <w:tcPr>
            <w:tcW w:w="7796" w:type="dxa"/>
            <w:shd w:val="clear" w:color="auto" w:fill="auto"/>
            <w:vAlign w:val="center"/>
          </w:tcPr>
          <w:p w14:paraId="70439AF0" w14:textId="77777777" w:rsidR="00D05340" w:rsidRPr="00D05340" w:rsidRDefault="00D05340" w:rsidP="00D05340">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C9BCFB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51CAEFAA" w14:textId="77777777" w:rsidTr="00A84567">
        <w:trPr>
          <w:jc w:val="center"/>
        </w:trPr>
        <w:tc>
          <w:tcPr>
            <w:tcW w:w="7796" w:type="dxa"/>
            <w:shd w:val="clear" w:color="auto" w:fill="auto"/>
            <w:vAlign w:val="center"/>
          </w:tcPr>
          <w:p w14:paraId="0CD1BFF8"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65BE54E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4C25C0F7" w14:textId="77777777" w:rsidTr="00A84567">
        <w:trPr>
          <w:jc w:val="center"/>
        </w:trPr>
        <w:tc>
          <w:tcPr>
            <w:tcW w:w="7796" w:type="dxa"/>
            <w:shd w:val="clear" w:color="auto" w:fill="auto"/>
            <w:vAlign w:val="center"/>
          </w:tcPr>
          <w:p w14:paraId="715921E0"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03757568"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0C5CE5C0" w14:textId="77777777" w:rsidTr="00A84567">
        <w:trPr>
          <w:jc w:val="center"/>
        </w:trPr>
        <w:tc>
          <w:tcPr>
            <w:tcW w:w="7796" w:type="dxa"/>
            <w:shd w:val="clear" w:color="auto" w:fill="auto"/>
            <w:vAlign w:val="center"/>
          </w:tcPr>
          <w:p w14:paraId="5F68A7AF"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4CF5CA4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5E165589" w14:textId="77777777" w:rsidTr="00A84567">
        <w:trPr>
          <w:jc w:val="center"/>
        </w:trPr>
        <w:tc>
          <w:tcPr>
            <w:tcW w:w="7796" w:type="dxa"/>
            <w:shd w:val="clear" w:color="auto" w:fill="auto"/>
            <w:vAlign w:val="center"/>
          </w:tcPr>
          <w:p w14:paraId="62E6AAD3"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63443B5"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02883BF5" w14:textId="77777777" w:rsidTr="00A84567">
        <w:trPr>
          <w:trHeight w:val="677"/>
          <w:jc w:val="center"/>
        </w:trPr>
        <w:tc>
          <w:tcPr>
            <w:tcW w:w="7796" w:type="dxa"/>
            <w:shd w:val="clear" w:color="auto" w:fill="auto"/>
            <w:vAlign w:val="center"/>
          </w:tcPr>
          <w:p w14:paraId="19DC605C"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36695901"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bl>
    <w:p w14:paraId="19C252F3" w14:textId="77777777" w:rsidR="00D05340" w:rsidRPr="00475D03" w:rsidRDefault="00D05340" w:rsidP="00E5503C">
      <w:pPr>
        <w:rPr>
          <w:sz w:val="22"/>
          <w:szCs w:val="22"/>
          <w:lang w:eastAsia="en-US"/>
        </w:rPr>
      </w:pPr>
    </w:p>
    <w:sectPr w:rsidR="00D05340" w:rsidRPr="00475D03"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C073" w14:textId="77777777" w:rsidR="004B6A46" w:rsidRDefault="004B6A46">
      <w:r>
        <w:separator/>
      </w:r>
    </w:p>
  </w:endnote>
  <w:endnote w:type="continuationSeparator" w:id="0">
    <w:p w14:paraId="5A46B040" w14:textId="77777777" w:rsidR="004B6A46" w:rsidRDefault="004B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1C38BC55" w14:textId="69DEE8B7" w:rsidR="00F068CE" w:rsidRDefault="00E84523" w:rsidP="009357C3">
        <w:pPr>
          <w:pStyle w:val="Zpat"/>
        </w:pPr>
        <w:r w:rsidRPr="00E84523">
          <w:rPr>
            <w:rFonts w:asciiTheme="minorHAnsi" w:eastAsiaTheme="minorHAnsi" w:hAnsiTheme="minorHAnsi" w:cstheme="minorBidi"/>
            <w:b/>
            <w:bCs/>
            <w:szCs w:val="20"/>
            <w:lang w:eastAsia="en-US"/>
          </w:rPr>
          <w:t xml:space="preserve"> </w:t>
        </w:r>
      </w:p>
      <w:p w14:paraId="0CD09862" w14:textId="12F4E786" w:rsidR="00667DC0" w:rsidRDefault="00215F9C" w:rsidP="00CA2983">
        <w:pPr>
          <w:pStyle w:val="Zpat"/>
        </w:pPr>
      </w:p>
    </w:sdtContent>
  </w:sdt>
  <w:p w14:paraId="3972AD36" w14:textId="77777777" w:rsidR="00667DC0" w:rsidRPr="00855DB3" w:rsidRDefault="00667DC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3444" w14:textId="77777777" w:rsidR="004B6A46" w:rsidRDefault="004B6A46">
      <w:r>
        <w:separator/>
      </w:r>
    </w:p>
  </w:footnote>
  <w:footnote w:type="continuationSeparator" w:id="0">
    <w:p w14:paraId="625FF0B6" w14:textId="77777777" w:rsidR="004B6A46" w:rsidRDefault="004B6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C6C85" w14:textId="12BCCD71" w:rsidR="00667DC0" w:rsidRDefault="00667DC0" w:rsidP="00C95D5F">
    <w:pPr>
      <w:pStyle w:val="Zhlav"/>
      <w:jc w:val="both"/>
    </w:pPr>
    <w:r>
      <w:rPr>
        <w:noProof/>
      </w:rPr>
      <w:drawing>
        <wp:anchor distT="0" distB="0" distL="114300" distR="114300" simplePos="0" relativeHeight="251658240" behindDoc="0" locked="0" layoutInCell="1" allowOverlap="1" wp14:anchorId="5E31B422" wp14:editId="70222B2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410FF7"/>
    <w:multiLevelType w:val="hybridMultilevel"/>
    <w:tmpl w:val="82B8434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0"/>
  </w:num>
  <w:num w:numId="3">
    <w:abstractNumId w:val="35"/>
  </w:num>
  <w:num w:numId="4">
    <w:abstractNumId w:val="13"/>
  </w:num>
  <w:num w:numId="5">
    <w:abstractNumId w:val="6"/>
  </w:num>
  <w:num w:numId="6">
    <w:abstractNumId w:val="15"/>
  </w:num>
  <w:num w:numId="7">
    <w:abstractNumId w:val="15"/>
  </w:num>
  <w:num w:numId="8">
    <w:abstractNumId w:val="34"/>
  </w:num>
  <w:num w:numId="9">
    <w:abstractNumId w:val="2"/>
  </w:num>
  <w:num w:numId="10">
    <w:abstractNumId w:val="27"/>
  </w:num>
  <w:num w:numId="11">
    <w:abstractNumId w:val="25"/>
  </w:num>
  <w:num w:numId="12">
    <w:abstractNumId w:val="32"/>
  </w:num>
  <w:num w:numId="13">
    <w:abstractNumId w:val="7"/>
  </w:num>
  <w:num w:numId="14">
    <w:abstractNumId w:val="29"/>
  </w:num>
  <w:num w:numId="15">
    <w:abstractNumId w:val="31"/>
  </w:num>
  <w:num w:numId="16">
    <w:abstractNumId w:val="16"/>
  </w:num>
  <w:num w:numId="17">
    <w:abstractNumId w:val="21"/>
  </w:num>
  <w:num w:numId="18">
    <w:abstractNumId w:val="10"/>
  </w:num>
  <w:num w:numId="19">
    <w:abstractNumId w:val="26"/>
  </w:num>
  <w:num w:numId="20">
    <w:abstractNumId w:val="33"/>
  </w:num>
  <w:num w:numId="21">
    <w:abstractNumId w:val="23"/>
  </w:num>
  <w:num w:numId="22">
    <w:abstractNumId w:val="4"/>
  </w:num>
  <w:num w:numId="23">
    <w:abstractNumId w:val="9"/>
  </w:num>
  <w:num w:numId="24">
    <w:abstractNumId w:val="22"/>
  </w:num>
  <w:num w:numId="25">
    <w:abstractNumId w:val="28"/>
  </w:num>
  <w:num w:numId="26">
    <w:abstractNumId w:val="18"/>
  </w:num>
  <w:num w:numId="27">
    <w:abstractNumId w:val="11"/>
  </w:num>
  <w:num w:numId="28">
    <w:abstractNumId w:val="0"/>
  </w:num>
  <w:num w:numId="29">
    <w:abstractNumId w:val="5"/>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8"/>
  </w:num>
  <w:num w:numId="37">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6333"/>
    <w:rsid w:val="0006781A"/>
    <w:rsid w:val="00074528"/>
    <w:rsid w:val="0008758E"/>
    <w:rsid w:val="00092942"/>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59FE"/>
    <w:rsid w:val="000C6A3F"/>
    <w:rsid w:val="000C6FBD"/>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00D8"/>
    <w:rsid w:val="00136081"/>
    <w:rsid w:val="00156067"/>
    <w:rsid w:val="00162142"/>
    <w:rsid w:val="001770B9"/>
    <w:rsid w:val="00185540"/>
    <w:rsid w:val="0018612B"/>
    <w:rsid w:val="00191ADF"/>
    <w:rsid w:val="0019452C"/>
    <w:rsid w:val="00197A5B"/>
    <w:rsid w:val="001A75A1"/>
    <w:rsid w:val="001C7363"/>
    <w:rsid w:val="001D1372"/>
    <w:rsid w:val="001D3BFB"/>
    <w:rsid w:val="001D45ED"/>
    <w:rsid w:val="001E2B25"/>
    <w:rsid w:val="001E3C7E"/>
    <w:rsid w:val="001E427D"/>
    <w:rsid w:val="001F2952"/>
    <w:rsid w:val="00205BFD"/>
    <w:rsid w:val="00205EE2"/>
    <w:rsid w:val="00213EE2"/>
    <w:rsid w:val="00214C1D"/>
    <w:rsid w:val="00215F9C"/>
    <w:rsid w:val="00220A39"/>
    <w:rsid w:val="00226F44"/>
    <w:rsid w:val="00227F98"/>
    <w:rsid w:val="00236D11"/>
    <w:rsid w:val="002476E6"/>
    <w:rsid w:val="00263789"/>
    <w:rsid w:val="002666F5"/>
    <w:rsid w:val="0027011E"/>
    <w:rsid w:val="00280A80"/>
    <w:rsid w:val="002962A1"/>
    <w:rsid w:val="00296EF6"/>
    <w:rsid w:val="002A27EE"/>
    <w:rsid w:val="002B39F1"/>
    <w:rsid w:val="002C459D"/>
    <w:rsid w:val="002C543B"/>
    <w:rsid w:val="002C5A20"/>
    <w:rsid w:val="002D0847"/>
    <w:rsid w:val="002D4509"/>
    <w:rsid w:val="002D6F30"/>
    <w:rsid w:val="002E5F2E"/>
    <w:rsid w:val="002E6F56"/>
    <w:rsid w:val="002F1954"/>
    <w:rsid w:val="00303205"/>
    <w:rsid w:val="00314D73"/>
    <w:rsid w:val="0031657C"/>
    <w:rsid w:val="00336B69"/>
    <w:rsid w:val="00340FC1"/>
    <w:rsid w:val="003448C0"/>
    <w:rsid w:val="00345B5A"/>
    <w:rsid w:val="00361D5A"/>
    <w:rsid w:val="00367758"/>
    <w:rsid w:val="00381B11"/>
    <w:rsid w:val="003846F9"/>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75D03"/>
    <w:rsid w:val="004838A7"/>
    <w:rsid w:val="00487781"/>
    <w:rsid w:val="004909D0"/>
    <w:rsid w:val="004936B9"/>
    <w:rsid w:val="004A3D79"/>
    <w:rsid w:val="004B3F94"/>
    <w:rsid w:val="004B462F"/>
    <w:rsid w:val="004B6A46"/>
    <w:rsid w:val="004C57F4"/>
    <w:rsid w:val="004C65DC"/>
    <w:rsid w:val="004C7980"/>
    <w:rsid w:val="004D2DB6"/>
    <w:rsid w:val="004D5D14"/>
    <w:rsid w:val="004E5652"/>
    <w:rsid w:val="004F5479"/>
    <w:rsid w:val="004F69D1"/>
    <w:rsid w:val="00504A9F"/>
    <w:rsid w:val="00521903"/>
    <w:rsid w:val="00530DEF"/>
    <w:rsid w:val="00531FC6"/>
    <w:rsid w:val="00532663"/>
    <w:rsid w:val="005329B0"/>
    <w:rsid w:val="00542225"/>
    <w:rsid w:val="00542985"/>
    <w:rsid w:val="0054515C"/>
    <w:rsid w:val="0054628A"/>
    <w:rsid w:val="005632E8"/>
    <w:rsid w:val="0056576E"/>
    <w:rsid w:val="00567235"/>
    <w:rsid w:val="00572533"/>
    <w:rsid w:val="005819B3"/>
    <w:rsid w:val="005870F2"/>
    <w:rsid w:val="00597185"/>
    <w:rsid w:val="005B06FC"/>
    <w:rsid w:val="005B2A93"/>
    <w:rsid w:val="005C50EB"/>
    <w:rsid w:val="005C6500"/>
    <w:rsid w:val="005D05E0"/>
    <w:rsid w:val="005D4102"/>
    <w:rsid w:val="005D6FB3"/>
    <w:rsid w:val="005E15EB"/>
    <w:rsid w:val="005E1A2C"/>
    <w:rsid w:val="005E53D1"/>
    <w:rsid w:val="00600F8C"/>
    <w:rsid w:val="00601065"/>
    <w:rsid w:val="006028C9"/>
    <w:rsid w:val="00602A33"/>
    <w:rsid w:val="00604638"/>
    <w:rsid w:val="00607DA1"/>
    <w:rsid w:val="00613381"/>
    <w:rsid w:val="00615491"/>
    <w:rsid w:val="00620CA2"/>
    <w:rsid w:val="00621A1A"/>
    <w:rsid w:val="0062603D"/>
    <w:rsid w:val="0063056C"/>
    <w:rsid w:val="0063089E"/>
    <w:rsid w:val="00633091"/>
    <w:rsid w:val="006370F4"/>
    <w:rsid w:val="00637A1A"/>
    <w:rsid w:val="00637E1C"/>
    <w:rsid w:val="006466FD"/>
    <w:rsid w:val="006473E4"/>
    <w:rsid w:val="006518A6"/>
    <w:rsid w:val="00652279"/>
    <w:rsid w:val="00654188"/>
    <w:rsid w:val="0065447C"/>
    <w:rsid w:val="00662654"/>
    <w:rsid w:val="006639EB"/>
    <w:rsid w:val="00667DC0"/>
    <w:rsid w:val="0067650B"/>
    <w:rsid w:val="006971B4"/>
    <w:rsid w:val="006C09D7"/>
    <w:rsid w:val="006E5A2E"/>
    <w:rsid w:val="006F12A7"/>
    <w:rsid w:val="006F6461"/>
    <w:rsid w:val="007001A0"/>
    <w:rsid w:val="00703424"/>
    <w:rsid w:val="0071402B"/>
    <w:rsid w:val="0071532A"/>
    <w:rsid w:val="00716461"/>
    <w:rsid w:val="007230A6"/>
    <w:rsid w:val="00724A5B"/>
    <w:rsid w:val="0073070F"/>
    <w:rsid w:val="007341AA"/>
    <w:rsid w:val="00734201"/>
    <w:rsid w:val="00743AC9"/>
    <w:rsid w:val="00756D6D"/>
    <w:rsid w:val="0075721B"/>
    <w:rsid w:val="00761854"/>
    <w:rsid w:val="00767CC9"/>
    <w:rsid w:val="00783B7D"/>
    <w:rsid w:val="007A4FB2"/>
    <w:rsid w:val="007B6C29"/>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658"/>
    <w:rsid w:val="00842F61"/>
    <w:rsid w:val="00843B0E"/>
    <w:rsid w:val="008465ED"/>
    <w:rsid w:val="0084715B"/>
    <w:rsid w:val="00855DB3"/>
    <w:rsid w:val="00861184"/>
    <w:rsid w:val="008614C0"/>
    <w:rsid w:val="00867642"/>
    <w:rsid w:val="008710C5"/>
    <w:rsid w:val="00883715"/>
    <w:rsid w:val="00885758"/>
    <w:rsid w:val="00885D17"/>
    <w:rsid w:val="00890047"/>
    <w:rsid w:val="008B1CD4"/>
    <w:rsid w:val="008B2D5E"/>
    <w:rsid w:val="008D6E40"/>
    <w:rsid w:val="008D7A6F"/>
    <w:rsid w:val="008E1C72"/>
    <w:rsid w:val="008E1D92"/>
    <w:rsid w:val="008E4AB3"/>
    <w:rsid w:val="00905E90"/>
    <w:rsid w:val="00907E39"/>
    <w:rsid w:val="009357C3"/>
    <w:rsid w:val="009365C0"/>
    <w:rsid w:val="00941E60"/>
    <w:rsid w:val="00942F42"/>
    <w:rsid w:val="00943A93"/>
    <w:rsid w:val="00964FDA"/>
    <w:rsid w:val="00965992"/>
    <w:rsid w:val="009673F6"/>
    <w:rsid w:val="00974FAE"/>
    <w:rsid w:val="009751AA"/>
    <w:rsid w:val="00980D0A"/>
    <w:rsid w:val="00985725"/>
    <w:rsid w:val="0098671F"/>
    <w:rsid w:val="00987289"/>
    <w:rsid w:val="0099223B"/>
    <w:rsid w:val="00994611"/>
    <w:rsid w:val="009A239C"/>
    <w:rsid w:val="009A2616"/>
    <w:rsid w:val="009B4D26"/>
    <w:rsid w:val="009B4E45"/>
    <w:rsid w:val="009B7C31"/>
    <w:rsid w:val="009C0B4C"/>
    <w:rsid w:val="009D3720"/>
    <w:rsid w:val="009E189C"/>
    <w:rsid w:val="009F28D7"/>
    <w:rsid w:val="009F4326"/>
    <w:rsid w:val="00A01011"/>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8DA"/>
    <w:rsid w:val="00A91526"/>
    <w:rsid w:val="00AB14BC"/>
    <w:rsid w:val="00AC3F9C"/>
    <w:rsid w:val="00AC4DA8"/>
    <w:rsid w:val="00AD7DB4"/>
    <w:rsid w:val="00AE0A9A"/>
    <w:rsid w:val="00AF43A2"/>
    <w:rsid w:val="00B01362"/>
    <w:rsid w:val="00B04151"/>
    <w:rsid w:val="00B07A78"/>
    <w:rsid w:val="00B10101"/>
    <w:rsid w:val="00B117BD"/>
    <w:rsid w:val="00B159C9"/>
    <w:rsid w:val="00B3451E"/>
    <w:rsid w:val="00B360D1"/>
    <w:rsid w:val="00B429BE"/>
    <w:rsid w:val="00B471A0"/>
    <w:rsid w:val="00B53DAE"/>
    <w:rsid w:val="00B54EDB"/>
    <w:rsid w:val="00B56957"/>
    <w:rsid w:val="00B64405"/>
    <w:rsid w:val="00B74311"/>
    <w:rsid w:val="00B94EEE"/>
    <w:rsid w:val="00BA348B"/>
    <w:rsid w:val="00BB0C56"/>
    <w:rsid w:val="00BB2159"/>
    <w:rsid w:val="00BB3FED"/>
    <w:rsid w:val="00BB40AC"/>
    <w:rsid w:val="00BB7A01"/>
    <w:rsid w:val="00BD6D27"/>
    <w:rsid w:val="00BF57F9"/>
    <w:rsid w:val="00BF63DE"/>
    <w:rsid w:val="00BF7D17"/>
    <w:rsid w:val="00C04ADE"/>
    <w:rsid w:val="00C10A7D"/>
    <w:rsid w:val="00C16503"/>
    <w:rsid w:val="00C2217C"/>
    <w:rsid w:val="00C37F21"/>
    <w:rsid w:val="00C4498B"/>
    <w:rsid w:val="00C52E57"/>
    <w:rsid w:val="00C564DC"/>
    <w:rsid w:val="00C57F86"/>
    <w:rsid w:val="00C64F47"/>
    <w:rsid w:val="00C661AB"/>
    <w:rsid w:val="00C8174D"/>
    <w:rsid w:val="00C81860"/>
    <w:rsid w:val="00C95843"/>
    <w:rsid w:val="00C95D5F"/>
    <w:rsid w:val="00CA0D86"/>
    <w:rsid w:val="00CA27C3"/>
    <w:rsid w:val="00CA2983"/>
    <w:rsid w:val="00CA49BB"/>
    <w:rsid w:val="00CA51FC"/>
    <w:rsid w:val="00CA538B"/>
    <w:rsid w:val="00CC3064"/>
    <w:rsid w:val="00CD382E"/>
    <w:rsid w:val="00CD3A9C"/>
    <w:rsid w:val="00CD65B0"/>
    <w:rsid w:val="00CE02B0"/>
    <w:rsid w:val="00CE32A8"/>
    <w:rsid w:val="00CF60CC"/>
    <w:rsid w:val="00D00AC7"/>
    <w:rsid w:val="00D0310E"/>
    <w:rsid w:val="00D05340"/>
    <w:rsid w:val="00D07B2A"/>
    <w:rsid w:val="00D11617"/>
    <w:rsid w:val="00D14FCA"/>
    <w:rsid w:val="00D21719"/>
    <w:rsid w:val="00D241F8"/>
    <w:rsid w:val="00D33243"/>
    <w:rsid w:val="00D3510F"/>
    <w:rsid w:val="00D36304"/>
    <w:rsid w:val="00D370BE"/>
    <w:rsid w:val="00D42818"/>
    <w:rsid w:val="00D42A02"/>
    <w:rsid w:val="00D431D5"/>
    <w:rsid w:val="00D43214"/>
    <w:rsid w:val="00D5247B"/>
    <w:rsid w:val="00D62E8D"/>
    <w:rsid w:val="00D70BF0"/>
    <w:rsid w:val="00D72049"/>
    <w:rsid w:val="00D7314B"/>
    <w:rsid w:val="00D876D7"/>
    <w:rsid w:val="00D9003E"/>
    <w:rsid w:val="00D928D0"/>
    <w:rsid w:val="00D963DD"/>
    <w:rsid w:val="00D96C73"/>
    <w:rsid w:val="00DA57E0"/>
    <w:rsid w:val="00DB37E1"/>
    <w:rsid w:val="00DC2021"/>
    <w:rsid w:val="00DC5760"/>
    <w:rsid w:val="00DD6BEA"/>
    <w:rsid w:val="00DE3CCB"/>
    <w:rsid w:val="00DE3E17"/>
    <w:rsid w:val="00DE43F8"/>
    <w:rsid w:val="00DF0C0F"/>
    <w:rsid w:val="00DF221D"/>
    <w:rsid w:val="00E14675"/>
    <w:rsid w:val="00E25961"/>
    <w:rsid w:val="00E25E2C"/>
    <w:rsid w:val="00E3244D"/>
    <w:rsid w:val="00E327B4"/>
    <w:rsid w:val="00E32E06"/>
    <w:rsid w:val="00E5503C"/>
    <w:rsid w:val="00E600E7"/>
    <w:rsid w:val="00E640CE"/>
    <w:rsid w:val="00E65FC7"/>
    <w:rsid w:val="00E70BD0"/>
    <w:rsid w:val="00E73FAD"/>
    <w:rsid w:val="00E753DD"/>
    <w:rsid w:val="00E77A7C"/>
    <w:rsid w:val="00E84523"/>
    <w:rsid w:val="00E864C9"/>
    <w:rsid w:val="00E90BD4"/>
    <w:rsid w:val="00E9644B"/>
    <w:rsid w:val="00EA4FC1"/>
    <w:rsid w:val="00EA5D2F"/>
    <w:rsid w:val="00EB28FB"/>
    <w:rsid w:val="00EB3567"/>
    <w:rsid w:val="00EB6305"/>
    <w:rsid w:val="00EB7063"/>
    <w:rsid w:val="00EC0E19"/>
    <w:rsid w:val="00ED1886"/>
    <w:rsid w:val="00ED26CC"/>
    <w:rsid w:val="00EE1E0E"/>
    <w:rsid w:val="00F011A6"/>
    <w:rsid w:val="00F035CA"/>
    <w:rsid w:val="00F03861"/>
    <w:rsid w:val="00F05922"/>
    <w:rsid w:val="00F05A17"/>
    <w:rsid w:val="00F068CE"/>
    <w:rsid w:val="00F069C9"/>
    <w:rsid w:val="00F14182"/>
    <w:rsid w:val="00F15BA6"/>
    <w:rsid w:val="00F16700"/>
    <w:rsid w:val="00F22CB7"/>
    <w:rsid w:val="00F4066F"/>
    <w:rsid w:val="00F42F2C"/>
    <w:rsid w:val="00F45432"/>
    <w:rsid w:val="00F458FA"/>
    <w:rsid w:val="00F461A3"/>
    <w:rsid w:val="00F63C45"/>
    <w:rsid w:val="00F66DDD"/>
    <w:rsid w:val="00F67B8A"/>
    <w:rsid w:val="00F70C37"/>
    <w:rsid w:val="00F91341"/>
    <w:rsid w:val="00F935F7"/>
    <w:rsid w:val="00F973A3"/>
    <w:rsid w:val="00FA0309"/>
    <w:rsid w:val="00FB0179"/>
    <w:rsid w:val="00FB4C27"/>
    <w:rsid w:val="00FB55E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 w:type="table" w:customStyle="1" w:styleId="Mkatabulky1">
    <w:name w:val="Mřížka tabulky1"/>
    <w:basedOn w:val="Normlntabulka"/>
    <w:next w:val="Mkatabulky"/>
    <w:uiPriority w:val="39"/>
    <w:rsid w:val="00D0534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74AF5-BD84-4849-AC3D-F9A14405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602</Words>
  <Characters>3556</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22</cp:revision>
  <dcterms:created xsi:type="dcterms:W3CDTF">2021-02-10T10:14:00Z</dcterms:created>
  <dcterms:modified xsi:type="dcterms:W3CDTF">2021-06-07T01:22:00Z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vaclav.novotny@bbraun.com</vt:lpwstr>
  </property>
  <property fmtid="{D5CDD505-2E9C-101B-9397-08002B2CF9AE}" pid="5" name="MSIP_Label_97735299-2a7d-4f7d-99cc-db352b8b5a9b_SetDate">
    <vt:lpwstr>2020-10-01T07:04:22.8579812Z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vaclav.novotny@bbraun.com</vt:lpwstr>
  </property>
  <property fmtid="{D5CDD505-2E9C-101B-9397-08002B2CF9AE}" pid="12" name="MSIP_Label_fd058493-e43f-432e-b8cc-adb7daa46640_SetDate">
    <vt:lpwstr>2020-10-01T07:04:22.8579812Z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